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1731" w:rsidRPr="00053F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1731" w:rsidRPr="00053F09" w:rsidRDefault="00961731">
            <w:pPr>
              <w:pStyle w:val="ConsPlusNormal"/>
              <w:outlineLvl w:val="0"/>
            </w:pPr>
            <w:r w:rsidRPr="00053F09">
              <w:t>10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1731" w:rsidRPr="00053F09" w:rsidRDefault="00961731">
            <w:pPr>
              <w:pStyle w:val="ConsPlusNormal"/>
              <w:jc w:val="right"/>
              <w:outlineLvl w:val="0"/>
            </w:pPr>
            <w:r w:rsidRPr="00053F09">
              <w:t>N 4685-ОЗ</w:t>
            </w:r>
          </w:p>
        </w:tc>
      </w:tr>
    </w:tbl>
    <w:p w:rsidR="00961731" w:rsidRPr="00053F09" w:rsidRDefault="009617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jc w:val="center"/>
      </w:pPr>
      <w:r w:rsidRPr="00053F09">
        <w:t>ВОЛОГОДСКАЯ ОБЛАСТЬ</w:t>
      </w:r>
    </w:p>
    <w:p w:rsidR="00961731" w:rsidRPr="00053F09" w:rsidRDefault="00961731">
      <w:pPr>
        <w:pStyle w:val="ConsPlusTitle"/>
        <w:jc w:val="center"/>
      </w:pPr>
    </w:p>
    <w:p w:rsidR="00961731" w:rsidRPr="00053F09" w:rsidRDefault="00961731">
      <w:pPr>
        <w:pStyle w:val="ConsPlusTitle"/>
        <w:jc w:val="center"/>
      </w:pPr>
      <w:r w:rsidRPr="00053F09">
        <w:t>ЗАКОН</w:t>
      </w:r>
    </w:p>
    <w:p w:rsidR="00961731" w:rsidRPr="00053F09" w:rsidRDefault="00961731">
      <w:pPr>
        <w:pStyle w:val="ConsPlusTitle"/>
        <w:jc w:val="center"/>
      </w:pPr>
    </w:p>
    <w:p w:rsidR="00961731" w:rsidRPr="00053F09" w:rsidRDefault="00961731">
      <w:pPr>
        <w:pStyle w:val="ConsPlusTitle"/>
        <w:jc w:val="center"/>
      </w:pPr>
      <w:r w:rsidRPr="00053F09">
        <w:t>О ПАТЕНТНОЙ СИСТЕМЕ НАЛОГООБЛОЖЕНИЯ</w:t>
      </w:r>
    </w:p>
    <w:p w:rsidR="00961731" w:rsidRPr="00053F09" w:rsidRDefault="00961731">
      <w:pPr>
        <w:pStyle w:val="ConsPlusTitle"/>
        <w:jc w:val="center"/>
      </w:pPr>
      <w:r w:rsidRPr="00053F09">
        <w:t>НА ТЕРРИТОРИИ ВОЛОГОДСКОЙ ОБЛАСТИ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jc w:val="right"/>
      </w:pPr>
      <w:proofErr w:type="gramStart"/>
      <w:r w:rsidRPr="00053F09">
        <w:t>Принят</w:t>
      </w:r>
      <w:proofErr w:type="gramEnd"/>
    </w:p>
    <w:p w:rsidR="00961731" w:rsidRPr="00053F09" w:rsidRDefault="00961731">
      <w:pPr>
        <w:pStyle w:val="ConsPlusNormal"/>
        <w:jc w:val="right"/>
      </w:pPr>
      <w:r w:rsidRPr="00053F09">
        <w:t>Постановлением</w:t>
      </w:r>
    </w:p>
    <w:p w:rsidR="00961731" w:rsidRPr="00053F09" w:rsidRDefault="00961731">
      <w:pPr>
        <w:pStyle w:val="ConsPlusNormal"/>
        <w:jc w:val="right"/>
      </w:pPr>
      <w:r w:rsidRPr="00053F09">
        <w:t>Законодательного Собрания</w:t>
      </w:r>
    </w:p>
    <w:p w:rsidR="00961731" w:rsidRPr="00053F09" w:rsidRDefault="00961731">
      <w:pPr>
        <w:pStyle w:val="ConsPlusNormal"/>
        <w:jc w:val="right"/>
      </w:pPr>
      <w:r w:rsidRPr="00053F09">
        <w:t>Вологодской области</w:t>
      </w:r>
    </w:p>
    <w:p w:rsidR="00961731" w:rsidRPr="00053F09" w:rsidRDefault="00961731">
      <w:pPr>
        <w:pStyle w:val="ConsPlusNormal"/>
        <w:jc w:val="right"/>
      </w:pPr>
      <w:r w:rsidRPr="00053F09">
        <w:t>от 25 марта 2020 г. N 68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1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r w:rsidRPr="00053F09">
        <w:t>В соответствии со статьей 346(43) Налогового кодекса Российской Федерации ввести патентную систему налогообложения на территории Вологодской области.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2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proofErr w:type="gramStart"/>
      <w:r w:rsidRPr="00053F09">
        <w:t>В соответствии с подпунктом 1(1) пункта 8 статьи 346(43) Налогового кодекса Российской Федерации в целях установления размеров 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дифференцировать территорию Вологодской области по территориям действия патентов по муниципальным образованиям (группам муниципальных образований), за исключением патентов на осуществление видов предпринимательской деятельности, указанных</w:t>
      </w:r>
      <w:proofErr w:type="gramEnd"/>
      <w:r w:rsidRPr="00053F09">
        <w:t xml:space="preserve"> в подпунктах 10, 11, 32, 33 и подпункте 46 (в части, касающейся развозной и разносной розничной торговли) пункта 2 статьи 346(43) Налогового кодекса Российской Федерации, </w:t>
      </w:r>
      <w:proofErr w:type="gramStart"/>
      <w:r w:rsidRPr="00053F09">
        <w:t>по</w:t>
      </w:r>
      <w:proofErr w:type="gramEnd"/>
      <w:r w:rsidRPr="00053F09">
        <w:t xml:space="preserve"> </w:t>
      </w:r>
      <w:proofErr w:type="gramStart"/>
      <w:r w:rsidRPr="00053F09">
        <w:t>следующим</w:t>
      </w:r>
      <w:proofErr w:type="gramEnd"/>
      <w:r w:rsidRPr="00053F09">
        <w:t xml:space="preserve"> группам муниципальных образований Вологодской области: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1) 1 группа - муниципальные образования Вологодской области, включая городские округа (для индивидуальных предпринимателей, осуществляющих деятельность на всей территории Вологодской области, включая городские округа);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2) 2 группа - муниципальные образования Вологодской области, за исключением городских округов (для индивидуальных предпринимателей, осуществляющих деятельность на территории одного или нескольких муниципальных районов Вологодской области, за исключением городских округов);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 xml:space="preserve">3) 3 группа - муниципальные образования, в состав территории которых входят административные центры следующих муниципальных районов: Белозерского, Великоустюгского, </w:t>
      </w:r>
      <w:proofErr w:type="spellStart"/>
      <w:r w:rsidRPr="00053F09">
        <w:t>Грязовецкого</w:t>
      </w:r>
      <w:proofErr w:type="spellEnd"/>
      <w:r w:rsidRPr="00053F09">
        <w:t xml:space="preserve">, Кирилловского, </w:t>
      </w:r>
      <w:proofErr w:type="spellStart"/>
      <w:r w:rsidRPr="00053F09">
        <w:t>Нюксенского</w:t>
      </w:r>
      <w:proofErr w:type="spellEnd"/>
      <w:r w:rsidRPr="00053F09">
        <w:t xml:space="preserve">, Сокольского, </w:t>
      </w:r>
      <w:proofErr w:type="spellStart"/>
      <w:r w:rsidRPr="00053F09">
        <w:t>Тотемского</w:t>
      </w:r>
      <w:proofErr w:type="spellEnd"/>
      <w:r w:rsidRPr="00053F09">
        <w:t xml:space="preserve">, </w:t>
      </w:r>
      <w:proofErr w:type="spellStart"/>
      <w:r w:rsidRPr="00053F09">
        <w:t>Харовского</w:t>
      </w:r>
      <w:proofErr w:type="spellEnd"/>
      <w:r w:rsidRPr="00053F09">
        <w:t>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 xml:space="preserve">4) 4 группа - муниципальные образования, в состав территории которых входят административные центры следующих муниципальных районов: Бабаевского, </w:t>
      </w:r>
      <w:proofErr w:type="spellStart"/>
      <w:r w:rsidRPr="00053F09">
        <w:t>Вашкинского</w:t>
      </w:r>
      <w:proofErr w:type="spellEnd"/>
      <w:r w:rsidRPr="00053F09">
        <w:t xml:space="preserve">, </w:t>
      </w:r>
      <w:proofErr w:type="spellStart"/>
      <w:r w:rsidRPr="00053F09">
        <w:t>Вытегорского</w:t>
      </w:r>
      <w:proofErr w:type="spellEnd"/>
      <w:r w:rsidRPr="00053F09">
        <w:t xml:space="preserve">, </w:t>
      </w:r>
      <w:proofErr w:type="spellStart"/>
      <w:r w:rsidRPr="00053F09">
        <w:t>Кадуйского</w:t>
      </w:r>
      <w:proofErr w:type="spellEnd"/>
      <w:r w:rsidRPr="00053F09">
        <w:t xml:space="preserve">, </w:t>
      </w:r>
      <w:proofErr w:type="spellStart"/>
      <w:r w:rsidRPr="00053F09">
        <w:t>Кичменгско</w:t>
      </w:r>
      <w:proofErr w:type="spellEnd"/>
      <w:r w:rsidRPr="00053F09">
        <w:t xml:space="preserve">-Городецкого, Никольского, </w:t>
      </w:r>
      <w:proofErr w:type="spellStart"/>
      <w:r w:rsidRPr="00053F09">
        <w:t>Тарногского</w:t>
      </w:r>
      <w:proofErr w:type="spellEnd"/>
      <w:r w:rsidRPr="00053F09">
        <w:t xml:space="preserve">, </w:t>
      </w:r>
      <w:proofErr w:type="spellStart"/>
      <w:r w:rsidRPr="00053F09">
        <w:t>Чагодощенского</w:t>
      </w:r>
      <w:proofErr w:type="spellEnd"/>
      <w:r w:rsidRPr="00053F09">
        <w:t>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 xml:space="preserve">5) 5 группа - муниципальные образования, в состав территории которых входят административные центры следующих муниципальных районов: </w:t>
      </w:r>
      <w:proofErr w:type="gramStart"/>
      <w:r w:rsidRPr="00053F09">
        <w:t xml:space="preserve">Бабушкинского, </w:t>
      </w:r>
      <w:proofErr w:type="spellStart"/>
      <w:r w:rsidRPr="00053F09">
        <w:t>Верховажского</w:t>
      </w:r>
      <w:proofErr w:type="spellEnd"/>
      <w:r w:rsidRPr="00053F09">
        <w:t xml:space="preserve">, </w:t>
      </w:r>
      <w:proofErr w:type="spellStart"/>
      <w:r w:rsidRPr="00053F09">
        <w:t>Вожегодского</w:t>
      </w:r>
      <w:proofErr w:type="spellEnd"/>
      <w:r w:rsidRPr="00053F09">
        <w:t xml:space="preserve">, Междуреченского, </w:t>
      </w:r>
      <w:proofErr w:type="spellStart"/>
      <w:r w:rsidRPr="00053F09">
        <w:t>Сямженского</w:t>
      </w:r>
      <w:proofErr w:type="spellEnd"/>
      <w:r w:rsidRPr="00053F09">
        <w:t xml:space="preserve">, </w:t>
      </w:r>
      <w:proofErr w:type="spellStart"/>
      <w:r w:rsidRPr="00053F09">
        <w:t>Устюженского</w:t>
      </w:r>
      <w:proofErr w:type="spellEnd"/>
      <w:r w:rsidRPr="00053F09">
        <w:t xml:space="preserve">, </w:t>
      </w:r>
      <w:proofErr w:type="spellStart"/>
      <w:r w:rsidRPr="00053F09">
        <w:t>Усть</w:t>
      </w:r>
      <w:proofErr w:type="spellEnd"/>
      <w:r w:rsidRPr="00053F09">
        <w:t>-Кубинского, Шекснинского;</w:t>
      </w:r>
      <w:proofErr w:type="gramEnd"/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lastRenderedPageBreak/>
        <w:t xml:space="preserve">6) 6 группа - муниципальные образования (за исключением муниципальных образований, в состав территории которых входят административные центры муниципальных районов) следующих муниципальных районов: Белозерского, Великоустюгского, </w:t>
      </w:r>
      <w:proofErr w:type="spellStart"/>
      <w:r w:rsidRPr="00053F09">
        <w:t>Грязовецкого</w:t>
      </w:r>
      <w:proofErr w:type="spellEnd"/>
      <w:r w:rsidRPr="00053F09">
        <w:t xml:space="preserve">, Кирилловского, </w:t>
      </w:r>
      <w:proofErr w:type="spellStart"/>
      <w:r w:rsidRPr="00053F09">
        <w:t>Нюксенского</w:t>
      </w:r>
      <w:proofErr w:type="spellEnd"/>
      <w:r w:rsidRPr="00053F09">
        <w:t xml:space="preserve">, Сокольского, </w:t>
      </w:r>
      <w:proofErr w:type="spellStart"/>
      <w:r w:rsidRPr="00053F09">
        <w:t>Тотемского</w:t>
      </w:r>
      <w:proofErr w:type="spellEnd"/>
      <w:r w:rsidRPr="00053F09">
        <w:t xml:space="preserve">, </w:t>
      </w:r>
      <w:proofErr w:type="spellStart"/>
      <w:r w:rsidRPr="00053F09">
        <w:t>Харовского</w:t>
      </w:r>
      <w:proofErr w:type="spellEnd"/>
      <w:r w:rsidRPr="00053F09">
        <w:t>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 xml:space="preserve">7) 7 группа - муниципальные образования (за исключением муниципальных образований, в состав территории которых входят административные центры муниципальных районов) следующих муниципальных районов: Бабаевского, </w:t>
      </w:r>
      <w:proofErr w:type="spellStart"/>
      <w:r w:rsidRPr="00053F09">
        <w:t>Вашкинского</w:t>
      </w:r>
      <w:proofErr w:type="spellEnd"/>
      <w:r w:rsidRPr="00053F09">
        <w:t xml:space="preserve">, </w:t>
      </w:r>
      <w:proofErr w:type="spellStart"/>
      <w:r w:rsidRPr="00053F09">
        <w:t>Вытегорского</w:t>
      </w:r>
      <w:proofErr w:type="spellEnd"/>
      <w:r w:rsidRPr="00053F09">
        <w:t xml:space="preserve">, </w:t>
      </w:r>
      <w:proofErr w:type="spellStart"/>
      <w:r w:rsidRPr="00053F09">
        <w:t>Кадуйского</w:t>
      </w:r>
      <w:proofErr w:type="spellEnd"/>
      <w:r w:rsidRPr="00053F09">
        <w:t xml:space="preserve">, </w:t>
      </w:r>
      <w:proofErr w:type="spellStart"/>
      <w:r w:rsidRPr="00053F09">
        <w:t>Кичменгско</w:t>
      </w:r>
      <w:proofErr w:type="spellEnd"/>
      <w:r w:rsidRPr="00053F09">
        <w:t xml:space="preserve">-Городецкого, Никольского, </w:t>
      </w:r>
      <w:proofErr w:type="spellStart"/>
      <w:r w:rsidRPr="00053F09">
        <w:t>Тарногского</w:t>
      </w:r>
      <w:proofErr w:type="spellEnd"/>
      <w:r w:rsidRPr="00053F09">
        <w:t xml:space="preserve">, </w:t>
      </w:r>
      <w:proofErr w:type="spellStart"/>
      <w:r w:rsidRPr="00053F09">
        <w:t>Чагодощенского</w:t>
      </w:r>
      <w:proofErr w:type="spellEnd"/>
      <w:r w:rsidRPr="00053F09">
        <w:t>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 xml:space="preserve">8) 8 группа - муниципальные образования (за исключением муниципальных образований, в состав территории которых входят административные центры муниципальных районов) следующих муниципальных районов: Бабушкинского, </w:t>
      </w:r>
      <w:proofErr w:type="spellStart"/>
      <w:r w:rsidRPr="00053F09">
        <w:t>Верховажского</w:t>
      </w:r>
      <w:proofErr w:type="spellEnd"/>
      <w:r w:rsidRPr="00053F09">
        <w:t xml:space="preserve">, </w:t>
      </w:r>
      <w:proofErr w:type="spellStart"/>
      <w:r w:rsidRPr="00053F09">
        <w:t>Вожегодского</w:t>
      </w:r>
      <w:proofErr w:type="spellEnd"/>
      <w:r w:rsidRPr="00053F09">
        <w:t xml:space="preserve">, Вологодского, Междуреченского, </w:t>
      </w:r>
      <w:proofErr w:type="spellStart"/>
      <w:r w:rsidRPr="00053F09">
        <w:t>Сямженского</w:t>
      </w:r>
      <w:proofErr w:type="spellEnd"/>
      <w:r w:rsidRPr="00053F09">
        <w:t xml:space="preserve">, </w:t>
      </w:r>
      <w:proofErr w:type="spellStart"/>
      <w:r w:rsidRPr="00053F09">
        <w:t>Устюженского</w:t>
      </w:r>
      <w:proofErr w:type="spellEnd"/>
      <w:r w:rsidRPr="00053F09">
        <w:t xml:space="preserve">, </w:t>
      </w:r>
      <w:proofErr w:type="spellStart"/>
      <w:r w:rsidRPr="00053F09">
        <w:t>Усть</w:t>
      </w:r>
      <w:proofErr w:type="spellEnd"/>
      <w:r w:rsidRPr="00053F09">
        <w:t>-Кубинского, Череповецкого, Шекснинского.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3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r w:rsidRPr="00053F09">
        <w:t>Установить размеры потенциально возможного к получению индивидуальным предпринимателем годового дохода согласно разделу I приложения к настоящему закону области на единицу средней численности наемных работников и в зависимости от территории действия патента по каждому из следующих видов предпринимательской деятельности, в отношении которых применяется патентная система налогообложения: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2) ремонт, чистка, окраска и пошив обуви;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3) парикмахерские и косметические услуги;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4) химическая чистка, крашение и услуги прачечных;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5) изготовление и ремонт металлической галантереи, ключей, номерных знаков, указателей улиц;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6)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7) ремонт мебели;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8) услуги в области фотографии;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9) ремонт жилья и других построек;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10) услуги по производству монтажных, электромонтажных, санитарно-технических и сварочных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11) услуги по остеклению балконов и лоджий, нарезке стекла и зеркал, художественной обработке стекла;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12) услуги в сфере дошкольного образования и дополнительного образования детей и взрослых;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13) услуги по присмотру и уходу за детьми и больными;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14) услуги по приему стеклопосуды и вторичного сырья, за исключением металлолома;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lastRenderedPageBreak/>
        <w:t>15) ветеринарные услуги;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16) изготовление изделий народных художественных промыслов;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proofErr w:type="gramStart"/>
      <w:r w:rsidRPr="00053F09">
        <w:t xml:space="preserve">17)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053F09">
        <w:t>маслосемян</w:t>
      </w:r>
      <w:proofErr w:type="spellEnd"/>
      <w:r w:rsidRPr="00053F09"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 w:rsidRPr="00053F09">
        <w:t xml:space="preserve"> </w:t>
      </w:r>
      <w:proofErr w:type="gramStart"/>
      <w:r w:rsidRPr="00053F09"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053F09"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18) производство и реставрация ковров и ковровых изделий;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19) ремонт ювелирных изделий, бижутерии;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20) чеканка и гравировка ювелирных изделий;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21)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22) услуги по уборке жилых помещений и ведению домашнего хозяйства;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23) услуги по оформлению интерьера жилого помещения и услуги художественного оформления;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24) проведение занятий по физической культуре и спорту;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25) услуги носильщиков на железнодорожных вокзалах, автовокзалах, аэровокзалах, в аэропортах, морских, речных портах;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26) услуги платных туалетов;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27) услуги по приготовлению и поставке блюд для торжественных мероприятий или иных событий;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proofErr w:type="gramStart"/>
      <w:r w:rsidRPr="00053F09">
        <w:t>28)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29)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30) услуги по зеленому хозяйству и декоративному цветоводству;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31) ведение охотничьего хозяйства и осуществление охоты;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32) осуществление частной детективной деятельности лицом, имеющим лицензию;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33) услуги по прокату;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lastRenderedPageBreak/>
        <w:t>34) экскурсионные услуги;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35) услуги уличных патрулей, охранников, сторожей и вахтеров;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36) 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37) оказание услуг по забою и транспортировке скота;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38) производство кожи и изделий из кожи;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 xml:space="preserve">39) сбор и заготовка пищевых лесных ресурсов, </w:t>
      </w:r>
      <w:proofErr w:type="spellStart"/>
      <w:r w:rsidRPr="00053F09">
        <w:t>недревесных</w:t>
      </w:r>
      <w:proofErr w:type="spellEnd"/>
      <w:r w:rsidRPr="00053F09">
        <w:t xml:space="preserve"> лесных ресурсов и лекарственных растений;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40) сушка, переработка и консервирование фруктов и овощей;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41) производство молочной продукции;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42) растениеводство, услуги в области растениеводства;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43) производство хлебобулочных и мучных кондитерских изделий;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44) товарное и спортивное рыболовство и рыбоводство;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45) лесоводство и прочая лесохозяйственная деятельность;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46) деятельность по письменному и устному переводу;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47) деятельность по уходу за престарелыми и инвалидами;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48) сбор, обработка и утилизация отходов, а также обработка вторичного сырья;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49) резка, обработка и отделка камня для памятников;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50)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51) ремонт компьютеров и коммуникационного оборудования;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 xml:space="preserve">52) техническое обслуживание и ремонт автотранспортных и </w:t>
      </w:r>
      <w:proofErr w:type="spellStart"/>
      <w:r w:rsidRPr="00053F09">
        <w:t>мототранспортных</w:t>
      </w:r>
      <w:proofErr w:type="spellEnd"/>
      <w:r w:rsidRPr="00053F09">
        <w:t xml:space="preserve"> средств, машин и оборудования;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53)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54) обрядовые услуги;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55) ритуальные услуги;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56) животноводство, услуги в области животноводства.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4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r w:rsidRPr="00053F09">
        <w:t xml:space="preserve">Установить размеры потенциально возможного к получению индивидуальным </w:t>
      </w:r>
      <w:r w:rsidRPr="00053F09">
        <w:lastRenderedPageBreak/>
        <w:t>предпринимателем годового дохода согласно разделу II приложения к настоящему закону области на единицу автотранспортных средств, судов водного транспорта по каждому из следующих видов предпринимательской деятельности, в отношении которых применяется патентная система налогообложения: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1) оказание автотранспортных услуг по перевозке грузов автомобильным транспортом;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bookmarkStart w:id="0" w:name="P96"/>
      <w:bookmarkEnd w:id="0"/>
      <w:r w:rsidRPr="00053F09">
        <w:t>2) оказание автотранспортных услуг по перевозке пассажиров автобусом;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3) оказание автотранспортных услуг по перевозке пассажиров автомобильным транспортом, за исключением услуг, указанных в пункте 2 настоящей статьи;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4) оказание услуг по перевозке пассажиров водным транспортом;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5) оказание услуг по перевозке грузов водным транспортом.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5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r w:rsidRPr="00053F09">
        <w:t>Установить размер потенциально возможного к получению индивидуальным предпринимателем годового дохода согласно разделу III приложения к настоящему закону области по каждому из следующих видов предпринимательской деятельности, в отношении которых применяется патентная система налогообложения: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1) сдача в аренду (наем) жилых помещений, принадлежащих индивидуальному предпринимателю на праве собственности, - на 1 квадратный метр площади сдаваемых в аренду (наем) жилых помещений в зависимости от территории действия патента;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2) сдача в аренду (наем) нежилых помещений, садовых домов, земельных участков, принадлежащих индивидуальному предпринимателю на праве собственности, - на 1 квадратный метр площади сдаваемых в аренду (наем) нежилых помещений, садовых домов, земельных участков в зависимости от территории действия патента;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proofErr w:type="gramStart"/>
      <w:r w:rsidRPr="00053F09">
        <w:t>3) 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торговли, - на 1 квадратный метр площади объекта стационарной торговой сети в зависимости от территории действия патента;</w:t>
      </w:r>
      <w:proofErr w:type="gramEnd"/>
    </w:p>
    <w:p w:rsidR="00961731" w:rsidRPr="00053F09" w:rsidRDefault="00961731">
      <w:pPr>
        <w:pStyle w:val="ConsPlusNormal"/>
        <w:spacing w:before="220"/>
        <w:ind w:firstLine="540"/>
        <w:jc w:val="both"/>
      </w:pPr>
      <w:proofErr w:type="gramStart"/>
      <w:r w:rsidRPr="00053F09">
        <w:t>4)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торговли), - на один объект стационарной (нестационарной) торговой сети в зависимости от территории действия патента;</w:t>
      </w:r>
      <w:proofErr w:type="gramEnd"/>
    </w:p>
    <w:p w:rsidR="00961731" w:rsidRPr="00053F09" w:rsidRDefault="00961731">
      <w:pPr>
        <w:pStyle w:val="ConsPlusNormal"/>
        <w:spacing w:before="220"/>
        <w:ind w:firstLine="540"/>
        <w:jc w:val="both"/>
      </w:pPr>
      <w:proofErr w:type="gramStart"/>
      <w:r w:rsidRPr="00053F09">
        <w:t>5)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 и разносной розничной торговли), - на один объект стационарной (нестационарной) торговой сети;</w:t>
      </w:r>
      <w:proofErr w:type="gramEnd"/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6) 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питания, - на 1 квадратный метр площади объекта организации общественного питания в зависимости от территории действия патента.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6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r w:rsidRPr="00053F09">
        <w:t xml:space="preserve">Максимальный размер потенциально возможного к получению индивидуальным предпринимателем годового дохода, установленный в разделах II и III приложения к настоящему </w:t>
      </w:r>
      <w:r w:rsidRPr="00053F09">
        <w:lastRenderedPageBreak/>
        <w:t>закону области, подлежит индексации на коэффициент</w:t>
      </w:r>
      <w:bookmarkStart w:id="1" w:name="_GoBack"/>
      <w:bookmarkEnd w:id="1"/>
      <w:r w:rsidRPr="00053F09">
        <w:t>-дефлятор, установленный на соответствующий календарный год, в соответствии с пунктом 9 статьи 346(43) части второй Налогового кодекса Российской Федерации.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7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bookmarkStart w:id="2" w:name="P117"/>
      <w:bookmarkEnd w:id="2"/>
      <w:r w:rsidRPr="00053F09">
        <w:t>1. В соответствии с подпунктом 2 пункта 8 статьи 346(43) Налогового кодекса Российской Федерации установить дополнительный перечень видов предпринимательской деятельности, относящихся к бытовым услугам, в отношении которых применяется патентная система налогообложения на территории Вологодской области: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1) строительство жилых и нежилых зданий;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2) строительство инженерных коммуникаций для водоснабжения и водоотведения, газоснабжения;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3) производство электромонтажных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4) производство санитарно-технических работ, монтаж отопительных систем и систем кондиционирования воздуха;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5) производство штукатурных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6) работы столярные и плотничные;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7) работы по устройству покрытий полов и облицовке стен;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8) производство малярных и стекольных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9) производство прочих отделочных и завершающих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10) производство кровельных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11) работы строительные специализированные прочие, не включенные в другие группировки;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12) изготовление кухонной мебели по индивидуальному заказу населения;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13) изготовление прочей мебели и отдельных мебельных деталей, не включенных в другие группировки по индивидуальному заказу населения;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14) деятельность физкультурно-оздоровительная;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15) 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16)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17) деятельность по благоустройству ландшафта;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18) деятельность зрелищно-развлекательная прочая, не включенная в другие группировки;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19) деятельность по чистке и уборке прочая, не включенная в другие группировки.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lastRenderedPageBreak/>
        <w:t xml:space="preserve">2. </w:t>
      </w:r>
      <w:proofErr w:type="gramStart"/>
      <w:r w:rsidRPr="00053F09">
        <w:t>Установить в отношении указанных в части 1 настоящей статьи видов предпринимательской деятельности размеры потенциально возможного к получению индивидуальным предпринимателем годового дохода по каждой из следующих групп (подгрупп) и отдельным видам экономической деятельности, относящимся к бытовым услугам, согласно разделу IV приложения к настоящему закону области, на единицу средней численности наемных работников и в зависимости от территории действия патента:</w:t>
      </w:r>
      <w:proofErr w:type="gramEnd"/>
    </w:p>
    <w:p w:rsidR="00961731" w:rsidRPr="00053F09" w:rsidRDefault="00961731">
      <w:pPr>
        <w:pStyle w:val="ConsPlusNormal"/>
        <w:spacing w:before="220"/>
        <w:ind w:firstLine="540"/>
        <w:jc w:val="both"/>
      </w:pPr>
      <w:bookmarkStart w:id="3" w:name="P138"/>
      <w:bookmarkEnd w:id="3"/>
      <w:r w:rsidRPr="00053F09">
        <w:t>1) группа 1, включающая следующие виды экономической деятельности, относящиеся к бытовым услугам: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строительство жилых и нежилых зданий;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строительство инженерных коммуникаций для водоснабжения и водоотведения, газоснабжения;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производство электромонтажных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производство санитарно-технических работ, монтаж отопительных систем и систем кондиционирования воздуха;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производство штукатурных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работы столярные и плотничные;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работы по устройству покрытий полов и облицовке стен;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производство малярных и стекольных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производство прочих отделочных и завершающих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производство кровельных работ;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работы строительные специализированные прочие, не включенные в другие группировки;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bookmarkStart w:id="4" w:name="P150"/>
      <w:bookmarkEnd w:id="4"/>
      <w:r w:rsidRPr="00053F09">
        <w:t>2) группа 2, включающая следующие виды экономической деятельности, относящиеся к бытовым услугам: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изготовление кухонной мебели по индивидуальному заказу населения;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изготовление прочей мебели и отдельных мебельных деталей, не включенных в другие группировки по индивидуальному заказу населения;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bookmarkStart w:id="5" w:name="P153"/>
      <w:bookmarkEnd w:id="5"/>
      <w:r w:rsidRPr="00053F09">
        <w:t>3) отдельные виды экономической деятельности, относящиеся к бытовым услугам: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деятельность физкультурно-оздоровительная;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деятельность по благоустройству ландшафта;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деятельность зрелищно-развлекательная прочая, не включенная в другие группировки;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lastRenderedPageBreak/>
        <w:t>деятельность по чистке и уборке прочая, не включенная в другие группировки.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3. Размеры потенциально возможного к получению индивидуальным предпринимателем годового дохода по видам предпринимательской деятельности, относящимся к бытовым услугам, определяются в целом по группе видов деятельности, указанных в пунктах 1 и 2 части 2 настоящей статьи, и отдельно по каждому виду деятельности, указанному в пункте 3 части 2 настоящей статьи.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8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r w:rsidRPr="00053F09">
        <w:t>Признать утратившими силу следующие законы области: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от 29 ноября 2012 года N 2900-ОЗ "О патентной системе налогообложения на территории Вологодской области";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от 11 декабря 2013 года N 3230-ОЗ "О внесении изменения в закон области "О патентной системе налогообложения на территории Вологодской области";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от 11 апреля 2016 года N 3918-ОЗ "О внесении изменения в статью 2 закона области "О патентной системе налогообложения на территории Вологодской области";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от 2 ноября 2016 года N 4053-ОЗ "О внесении изменений в закон области "О патентной системе налогообложения на территории Вологодской области";</w:t>
      </w:r>
    </w:p>
    <w:p w:rsidR="00961731" w:rsidRPr="00053F09" w:rsidRDefault="00961731">
      <w:pPr>
        <w:pStyle w:val="ConsPlusNormal"/>
        <w:spacing w:before="220"/>
        <w:ind w:firstLine="540"/>
        <w:jc w:val="both"/>
      </w:pPr>
      <w:r w:rsidRPr="00053F09">
        <w:t>от 10 апреля 2017 года N 4126-ОЗ "О внесении изменения в статью 4(1) закона области "О патентной системе налогообложения на территории Вологодской области".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Title"/>
        <w:ind w:firstLine="540"/>
        <w:jc w:val="both"/>
        <w:outlineLvl w:val="1"/>
      </w:pPr>
      <w:r w:rsidRPr="00053F09">
        <w:t>Статья 9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ind w:firstLine="540"/>
        <w:jc w:val="both"/>
      </w:pPr>
      <w:r w:rsidRPr="00053F09">
        <w:t>Настоящий закон области вступает в силу с 1 января 2021 года.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jc w:val="right"/>
      </w:pPr>
      <w:r w:rsidRPr="00053F09">
        <w:t>Губернатор области</w:t>
      </w:r>
    </w:p>
    <w:p w:rsidR="00961731" w:rsidRPr="00053F09" w:rsidRDefault="00961731">
      <w:pPr>
        <w:pStyle w:val="ConsPlusNormal"/>
        <w:jc w:val="right"/>
      </w:pPr>
      <w:r w:rsidRPr="00053F09">
        <w:t>О.А.КУВШИННИКОВ</w:t>
      </w:r>
    </w:p>
    <w:p w:rsidR="00961731" w:rsidRPr="00053F09" w:rsidRDefault="00961731">
      <w:pPr>
        <w:pStyle w:val="ConsPlusNormal"/>
      </w:pPr>
      <w:r w:rsidRPr="00053F09">
        <w:t>г. Вологда</w:t>
      </w:r>
    </w:p>
    <w:p w:rsidR="00961731" w:rsidRPr="00053F09" w:rsidRDefault="00961731">
      <w:pPr>
        <w:pStyle w:val="ConsPlusNormal"/>
        <w:spacing w:before="220"/>
        <w:jc w:val="both"/>
      </w:pPr>
      <w:r w:rsidRPr="00053F09">
        <w:t>10 апреля 2020 года</w:t>
      </w:r>
    </w:p>
    <w:p w:rsidR="00961731" w:rsidRPr="00053F09" w:rsidRDefault="00961731">
      <w:pPr>
        <w:pStyle w:val="ConsPlusNormal"/>
        <w:spacing w:before="220"/>
        <w:jc w:val="both"/>
      </w:pPr>
      <w:r w:rsidRPr="00053F09">
        <w:t>N 4685-ОЗ</w:t>
      </w: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  <w:jc w:val="both"/>
      </w:pPr>
    </w:p>
    <w:p w:rsidR="00961731" w:rsidRPr="00053F09" w:rsidRDefault="00961731">
      <w:pPr>
        <w:pStyle w:val="ConsPlusNormal"/>
      </w:pPr>
      <w:r w:rsidRPr="00053F09">
        <w:rPr>
          <w:i/>
        </w:rPr>
        <w:br/>
        <w:t>Закон Вологодской области от 10.04.2020 N 4685-ОЗ "О патентной системе налогообложения на территории Вологодской области" (принят Постановлением ЗС Вологодской области от 25.03.2020 N 68) {</w:t>
      </w:r>
      <w:proofErr w:type="spellStart"/>
      <w:r w:rsidRPr="00053F09">
        <w:rPr>
          <w:i/>
        </w:rPr>
        <w:t>КонсультантПлюс</w:t>
      </w:r>
      <w:proofErr w:type="spellEnd"/>
      <w:r w:rsidRPr="00053F09">
        <w:rPr>
          <w:i/>
        </w:rPr>
        <w:t>}</w:t>
      </w:r>
      <w:r w:rsidRPr="00053F09">
        <w:br/>
      </w:r>
    </w:p>
    <w:p w:rsidR="00C61818" w:rsidRPr="00053F09" w:rsidRDefault="00C61818"/>
    <w:sectPr w:rsidR="00C61818" w:rsidRPr="00053F09" w:rsidSect="00A6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31"/>
    <w:rsid w:val="00053F09"/>
    <w:rsid w:val="000C1946"/>
    <w:rsid w:val="00180336"/>
    <w:rsid w:val="00284015"/>
    <w:rsid w:val="002B2E93"/>
    <w:rsid w:val="002D0A77"/>
    <w:rsid w:val="003725BB"/>
    <w:rsid w:val="003C1611"/>
    <w:rsid w:val="00410C87"/>
    <w:rsid w:val="005C12B5"/>
    <w:rsid w:val="0062477A"/>
    <w:rsid w:val="0067081A"/>
    <w:rsid w:val="00786BF8"/>
    <w:rsid w:val="00961731"/>
    <w:rsid w:val="009F3874"/>
    <w:rsid w:val="00B25C56"/>
    <w:rsid w:val="00B71849"/>
    <w:rsid w:val="00BD5508"/>
    <w:rsid w:val="00C336F3"/>
    <w:rsid w:val="00C61818"/>
    <w:rsid w:val="00C82AEE"/>
    <w:rsid w:val="00E7203C"/>
    <w:rsid w:val="00ED40B4"/>
    <w:rsid w:val="00F10A4C"/>
    <w:rsid w:val="00F1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Ольга Александровна</dc:creator>
  <cp:lastModifiedBy>1</cp:lastModifiedBy>
  <cp:revision>2</cp:revision>
  <dcterms:created xsi:type="dcterms:W3CDTF">2020-12-14T05:35:00Z</dcterms:created>
  <dcterms:modified xsi:type="dcterms:W3CDTF">2020-12-14T05:35:00Z</dcterms:modified>
</cp:coreProperties>
</file>